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Ind w:w="720" w:type="dxa"/>
        <w:tblLook w:val="01E0" w:firstRow="1" w:lastRow="1" w:firstColumn="1" w:lastColumn="1" w:noHBand="0" w:noVBand="0"/>
      </w:tblPr>
      <w:tblGrid>
        <w:gridCol w:w="3696"/>
        <w:gridCol w:w="5966"/>
      </w:tblGrid>
      <w:tr w:rsidR="002F22B0" w:rsidRPr="001016C3" w:rsidTr="003B5165">
        <w:trPr>
          <w:jc w:val="center"/>
        </w:trPr>
        <w:tc>
          <w:tcPr>
            <w:tcW w:w="3696" w:type="dxa"/>
            <w:shd w:val="clear" w:color="auto" w:fill="auto"/>
          </w:tcPr>
          <w:p w:rsidR="002F22B0" w:rsidRPr="006A54F7" w:rsidRDefault="002F22B0" w:rsidP="003B5165">
            <w:pPr>
              <w:jc w:val="center"/>
              <w:rPr>
                <w:b/>
                <w:sz w:val="26"/>
                <w:szCs w:val="26"/>
              </w:rPr>
            </w:pPr>
            <w:r w:rsidRPr="006A54F7">
              <w:rPr>
                <w:b/>
                <w:sz w:val="26"/>
                <w:szCs w:val="26"/>
              </w:rPr>
              <w:t xml:space="preserve">ỦY BAN NHÂN DÂN </w:t>
            </w:r>
          </w:p>
          <w:p w:rsidR="002F22B0" w:rsidRPr="006A54F7" w:rsidRDefault="002F22B0" w:rsidP="003B5165">
            <w:pPr>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187325</wp:posOffset>
                      </wp:positionV>
                      <wp:extent cx="600075" cy="0"/>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pt;margin-top:14.7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"/>
                  </w:pict>
                </mc:Fallback>
              </mc:AlternateContent>
            </w:r>
            <w:r w:rsidRPr="006A54F7">
              <w:rPr>
                <w:b/>
                <w:sz w:val="26"/>
                <w:szCs w:val="26"/>
              </w:rPr>
              <w:t>TỈNH ĐẮK NÔNG</w:t>
            </w:r>
          </w:p>
          <w:p w:rsidR="002F22B0" w:rsidRPr="006A54F7" w:rsidRDefault="002F22B0" w:rsidP="003B5165">
            <w:pPr>
              <w:spacing w:before="120"/>
              <w:ind w:left="-85" w:right="40"/>
              <w:jc w:val="center"/>
            </w:pPr>
            <w:r w:rsidRPr="006A54F7">
              <w:t>Số:       /TTr-</w:t>
            </w:r>
            <w:r>
              <w:t>UBND</w:t>
            </w:r>
          </w:p>
          <w:p w:rsidR="002F22B0" w:rsidRPr="001016C3" w:rsidRDefault="002F22B0" w:rsidP="003B5165">
            <w:pPr>
              <w:ind w:left="-85" w:right="40" w:firstLine="11"/>
              <w:jc w:val="center"/>
              <w:rPr>
                <w:bCs/>
              </w:rPr>
            </w:pPr>
          </w:p>
        </w:tc>
        <w:tc>
          <w:tcPr>
            <w:tcW w:w="5966" w:type="dxa"/>
            <w:shd w:val="clear" w:color="auto" w:fill="auto"/>
          </w:tcPr>
          <w:p w:rsidR="002F22B0" w:rsidRPr="001016C3" w:rsidRDefault="002F22B0" w:rsidP="003B5165">
            <w:pPr>
              <w:ind w:left="2" w:right="-70" w:hanging="2"/>
              <w:jc w:val="center"/>
              <w:rPr>
                <w:b/>
                <w:sz w:val="26"/>
                <w:szCs w:val="26"/>
              </w:rPr>
            </w:pPr>
            <w:r w:rsidRPr="001016C3">
              <w:rPr>
                <w:b/>
                <w:sz w:val="26"/>
                <w:szCs w:val="26"/>
              </w:rPr>
              <w:t xml:space="preserve">CỘNG HÒA XÃ HỘI CHỦ NGHĨA VIỆT </w:t>
            </w:r>
            <w:smartTag w:uri="urn:schemas-microsoft-com:office:smarttags" w:element="place">
              <w:smartTag w:uri="urn:schemas-microsoft-com:office:smarttags" w:element="country-region">
                <w:r w:rsidRPr="001016C3">
                  <w:rPr>
                    <w:b/>
                    <w:sz w:val="26"/>
                    <w:szCs w:val="26"/>
                  </w:rPr>
                  <w:t>NAM</w:t>
                </w:r>
              </w:smartTag>
            </w:smartTag>
          </w:p>
          <w:p w:rsidR="002F22B0" w:rsidRPr="006A54F7" w:rsidRDefault="002F22B0" w:rsidP="003B5165">
            <w:pPr>
              <w:ind w:right="-275" w:firstLine="34"/>
              <w:jc w:val="center"/>
              <w:rPr>
                <w:b/>
                <w:sz w:val="34"/>
              </w:rPr>
            </w:pPr>
            <w:r w:rsidRPr="006A54F7">
              <w:rPr>
                <w:b/>
                <w:szCs w:val="26"/>
              </w:rPr>
              <w:t>Độc lập - Tự do - Hạnh phúc</w:t>
            </w:r>
          </w:p>
          <w:p w:rsidR="002F22B0" w:rsidRPr="001016C3" w:rsidRDefault="002F22B0" w:rsidP="003B5165">
            <w:pPr>
              <w:tabs>
                <w:tab w:val="left" w:pos="630"/>
                <w:tab w:val="center" w:pos="2766"/>
              </w:tabs>
              <w:spacing w:before="120"/>
              <w:ind w:right="-272"/>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1905</wp:posOffset>
                      </wp:positionV>
                      <wp:extent cx="2238375"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3.45pt;margin-top:.1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r4JQIAAEo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"/>
                  </w:pict>
                </mc:Fallback>
              </mc:AlternateContent>
            </w:r>
            <w:r w:rsidRPr="006A54F7">
              <w:rPr>
                <w:i/>
              </w:rPr>
              <w:t>Đắk Nông, ngày       tháng      năm 2019</w:t>
            </w:r>
          </w:p>
          <w:p w:rsidR="002F22B0" w:rsidRPr="001016C3" w:rsidRDefault="002F22B0" w:rsidP="003B5165">
            <w:pPr>
              <w:ind w:right="417"/>
              <w:jc w:val="center"/>
            </w:pPr>
          </w:p>
        </w:tc>
      </w:tr>
    </w:tbl>
    <w:p w:rsidR="002F22B0" w:rsidRPr="001016C3" w:rsidRDefault="002F22B0" w:rsidP="002F22B0">
      <w:pPr>
        <w:tabs>
          <w:tab w:val="right" w:leader="dot" w:pos="8640"/>
        </w:tabs>
        <w:spacing w:before="120"/>
      </w:pPr>
      <w:r>
        <w:rPr>
          <w:noProof/>
        </w:rPr>
        <mc:AlternateContent>
          <mc:Choice Requires="wps">
            <w:drawing>
              <wp:anchor distT="0" distB="0" distL="114300" distR="114300" simplePos="0" relativeHeight="251661312" behindDoc="0" locked="0" layoutInCell="1" allowOverlap="1">
                <wp:simplePos x="0" y="0"/>
                <wp:positionH relativeFrom="column">
                  <wp:posOffset>691515</wp:posOffset>
                </wp:positionH>
                <wp:positionV relativeFrom="paragraph">
                  <wp:posOffset>1270</wp:posOffset>
                </wp:positionV>
                <wp:extent cx="1066800" cy="314325"/>
                <wp:effectExtent l="9525" t="1016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rsidR="002F22B0" w:rsidRPr="006A54F7" w:rsidRDefault="002F22B0" w:rsidP="002F22B0">
                            <w:pPr>
                              <w:jc w:val="center"/>
                            </w:pPr>
                            <w:r w:rsidRPr="006A54F7">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5pt;margin-top:.1pt;width:8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">
                <v:textbox>
                  <w:txbxContent>
                    <w:p w:rsidR="002F22B0" w:rsidRPr="006A54F7" w:rsidRDefault="002F22B0" w:rsidP="002F22B0">
                      <w:pPr>
                        <w:jc w:val="center"/>
                      </w:pPr>
                      <w:r w:rsidRPr="006A54F7">
                        <w:t>DỰ THẢO</w:t>
                      </w:r>
                    </w:p>
                  </w:txbxContent>
                </v:textbox>
              </v:shape>
            </w:pict>
          </mc:Fallback>
        </mc:AlternateContent>
      </w:r>
    </w:p>
    <w:p w:rsidR="002F22B0" w:rsidRPr="001016C3" w:rsidRDefault="002F22B0" w:rsidP="002F22B0">
      <w:pPr>
        <w:tabs>
          <w:tab w:val="right" w:leader="dot" w:pos="8640"/>
        </w:tabs>
        <w:jc w:val="center"/>
        <w:rPr>
          <w:b/>
        </w:rPr>
      </w:pPr>
      <w:r w:rsidRPr="001016C3">
        <w:rPr>
          <w:b/>
        </w:rPr>
        <w:t>TỜ TRÌNH</w:t>
      </w:r>
    </w:p>
    <w:p w:rsidR="002F22B0" w:rsidRPr="00203C0E" w:rsidRDefault="002F22B0" w:rsidP="002F22B0">
      <w:pPr>
        <w:tabs>
          <w:tab w:val="right" w:leader="dot" w:pos="8640"/>
        </w:tabs>
        <w:jc w:val="center"/>
        <w:rPr>
          <w:b/>
        </w:rPr>
      </w:pPr>
      <w:r w:rsidRPr="00203C0E">
        <w:rPr>
          <w:b/>
        </w:rPr>
        <w:t>Đề nghị xây dựng Nghị quyết ban hành chính sách hỗ trợ hệ sinh thái khởi nghiệp đổi mới sáng tạo trên địa bàn tỉnh Đắk Nông đến năm 2025</w:t>
      </w:r>
    </w:p>
    <w:p w:rsidR="002F22B0" w:rsidRPr="001016C3" w:rsidRDefault="002F22B0" w:rsidP="002F22B0">
      <w:pPr>
        <w:tabs>
          <w:tab w:val="right" w:leader="dot" w:pos="8640"/>
        </w:tabs>
        <w:spacing w:before="120"/>
        <w:jc w:val="center"/>
        <w:rPr>
          <w:b/>
        </w:rPr>
      </w:pPr>
    </w:p>
    <w:p w:rsidR="002F22B0" w:rsidRPr="001016C3" w:rsidRDefault="002F22B0" w:rsidP="002F22B0">
      <w:pPr>
        <w:tabs>
          <w:tab w:val="right" w:leader="dot" w:pos="8640"/>
        </w:tabs>
        <w:spacing w:before="120"/>
        <w:jc w:val="center"/>
      </w:pPr>
      <w:r w:rsidRPr="001016C3">
        <w:t xml:space="preserve">Kính gửi: </w:t>
      </w:r>
      <w:r>
        <w:t>Hội đồng nhân dân</w:t>
      </w:r>
      <w:r w:rsidRPr="001016C3">
        <w:t xml:space="preserve"> tỉnh Đắk Nông</w:t>
      </w:r>
    </w:p>
    <w:p w:rsidR="002F22B0" w:rsidRPr="001016C3" w:rsidRDefault="002F22B0" w:rsidP="002F22B0">
      <w:pPr>
        <w:tabs>
          <w:tab w:val="right" w:leader="dot" w:pos="8640"/>
        </w:tabs>
        <w:spacing w:before="120"/>
      </w:pPr>
    </w:p>
    <w:p w:rsidR="002F22B0" w:rsidRPr="00772C93" w:rsidRDefault="002F22B0" w:rsidP="00772C93">
      <w:pPr>
        <w:spacing w:before="120" w:after="120"/>
        <w:jc w:val="both"/>
      </w:pPr>
      <w:r w:rsidRPr="00772C93">
        <w:tab/>
        <w:t>Thực hiện quy định của Luật ban hành văn bản quy phạm pháp luật năm 2015, Ủy ban nhân dân tỉnh Đắk Nông xin trình Hội đồng nhân dân tỉnh Đắk Nông đề nghị xây dựng Nghị quyết ban hành chính sách hỗ trợ  hệ sinh thái khởi nghiệp đổi mới sáng tạo trên địa bàn tỉnh Đắk Nông đến năm 2025</w:t>
      </w:r>
      <w:r w:rsidRPr="00772C93">
        <w:rPr>
          <w:b/>
        </w:rPr>
        <w:t xml:space="preserve"> </w:t>
      </w:r>
      <w:r w:rsidRPr="00772C93">
        <w:t>như sau:</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I. SỰ CẦN THIẾT BAN HÀNH VĂN BẢN</w:t>
      </w:r>
    </w:p>
    <w:p w:rsidR="002F22B0" w:rsidRPr="00772C93" w:rsidRDefault="002F22B0" w:rsidP="00772C93">
      <w:pPr>
        <w:spacing w:before="120" w:after="120"/>
        <w:ind w:firstLine="709"/>
        <w:jc w:val="both"/>
        <w:rPr>
          <w:rStyle w:val="Strong"/>
          <w:rFonts w:eastAsiaTheme="majorEastAsia"/>
          <w:b w:val="0"/>
          <w:shd w:val="clear" w:color="auto" w:fill="FFFFFF"/>
        </w:rPr>
      </w:pPr>
      <w:r w:rsidRPr="00772C93">
        <w:rPr>
          <w:rStyle w:val="Strong"/>
          <w:rFonts w:eastAsiaTheme="majorEastAsia"/>
          <w:b w:val="0"/>
          <w:shd w:val="clear" w:color="auto" w:fill="FFFFFF"/>
        </w:rPr>
        <w:t>Thực hiện chủ trương, chính sách của Đảng và Nhà nước về phát triển doanh nghiệp nói chung và doanh nghiệp khởi nghiệp đổi mới sáng tạo trong bối cảnh hội nhập quốc tế. Thời gian qua, Đảng bộ và chính quyền tỉnh Đắk Nông đã có nhiều nỗ lực trong việc đề ra và thực hiện các chính sách, chương trình, hoạt động cụ thể nhằm tạo lập môi trường thuận lợi để hỗ trợ doanh nghiệp góp phần tạo việc làm, tăng năng suất, thu nhập cho người lao động, đóng góp vào quá trình phát triển kinh tế xã hội của địa phương.</w:t>
      </w:r>
    </w:p>
    <w:p w:rsidR="002F22B0" w:rsidRPr="00772C93" w:rsidRDefault="002F22B0" w:rsidP="00772C93">
      <w:pPr>
        <w:spacing w:before="120" w:after="120"/>
        <w:ind w:firstLine="709"/>
        <w:jc w:val="both"/>
        <w:rPr>
          <w:rStyle w:val="Strong"/>
          <w:rFonts w:eastAsiaTheme="majorEastAsia"/>
          <w:b w:val="0"/>
          <w:shd w:val="clear" w:color="auto" w:fill="FFFFFF"/>
        </w:rPr>
      </w:pPr>
      <w:r w:rsidRPr="00772C93">
        <w:rPr>
          <w:rStyle w:val="Strong"/>
          <w:rFonts w:eastAsiaTheme="majorEastAsia"/>
          <w:b w:val="0"/>
          <w:shd w:val="clear" w:color="auto" w:fill="FFFFFF"/>
        </w:rPr>
        <w:t>Tuy nhiên hoạt động của doanh nghiệp vẫn còn nhiều hạn chế như: Doanh nghiệp có tăng về số lượng nhưng chưa mạnh, hầu hết có quy mô nhỏ và siêu nhỏ, công nghệ lạc hậu; chưa có chiến lược kinh doanh, chủ yếu kinh doanh nhỏ (buôn bán lẻ), bắt chước, làm theo, thiếu sáng tạo; trình độ kỹ năng quản trị doanh nghiệp yếu;  Hoạt động đổi mới sáng tạo của doanh nghiệp cũng như các doanh nghiệp có sản phẩm, dự án khởi nghiệp đổi mới sáng tạo dựa trên khai thác tài sản trí tuệ, công nghệ hoặc mô hình kinh doanh mới trên địa bàn tỉnh Đắk Nông chưa có chuyển biến rõ nét để bắt kịp với xu hướng chung của cả nước. Hơn nữa khởi nghiệp nói chung và khởi nghiệp đổi mới sáng tạo nói riêng là một quá trình thực sự khó khăn và đầy rủi ro. Vì vậy, việc ban hành chính sách hỗ trợ khởi nghiệp đổi mới sáng tạo trên địa bàn tỉnh có ý nghĩa là một động thái chứng minh cho cộng đồng doanh nghiệp thấy Đảng bộ và Chính quyền tỉnh Đắk Nông đã vào cuộc thật sự, đồng hành cùng với doanh nghiệp.</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II. MỤC ĐÍCH, QUAN ĐIỂM XÂY DỰNG VĂN BẢN</w:t>
      </w:r>
    </w:p>
    <w:p w:rsidR="002F22B0" w:rsidRPr="00772C93" w:rsidRDefault="002F22B0" w:rsidP="00772C93">
      <w:pPr>
        <w:pStyle w:val="Heading21"/>
        <w:rPr>
          <w:rFonts w:cs="Times New Roman"/>
          <w:szCs w:val="28"/>
        </w:rPr>
      </w:pPr>
      <w:r w:rsidRPr="00772C93">
        <w:rPr>
          <w:rFonts w:cs="Times New Roman"/>
          <w:b/>
          <w:szCs w:val="28"/>
        </w:rPr>
        <w:tab/>
      </w:r>
      <w:r w:rsidRPr="00772C93">
        <w:rPr>
          <w:rFonts w:cs="Times New Roman"/>
          <w:szCs w:val="28"/>
        </w:rPr>
        <w:t>1. Mục đích</w:t>
      </w:r>
    </w:p>
    <w:p w:rsidR="00D86CD4" w:rsidRDefault="002F22B0" w:rsidP="00D86CD4">
      <w:pPr>
        <w:spacing w:before="120" w:after="120"/>
        <w:ind w:firstLine="709"/>
        <w:jc w:val="both"/>
      </w:pPr>
      <w:r w:rsidRPr="00772C93">
        <w:tab/>
      </w:r>
      <w:r w:rsidR="00D86CD4">
        <w:t xml:space="preserve">Tạo lập môi trường thuận lợi để hình thành và phát triển hệ sinh thái khởi nghiệp đổi mới sáng tạo; thúc đẩy hoạt động khởi nghiệp đổi mới sáng tạo trên </w:t>
      </w:r>
      <w:r w:rsidR="00D86CD4">
        <w:lastRenderedPageBreak/>
        <w:t>địa bàn tỉnh Đắk Nông.</w:t>
      </w:r>
    </w:p>
    <w:p w:rsidR="00D86CD4" w:rsidRDefault="00D86CD4" w:rsidP="00D86CD4">
      <w:pPr>
        <w:spacing w:before="120" w:after="120"/>
        <w:ind w:firstLine="709"/>
        <w:jc w:val="both"/>
      </w:pPr>
      <w:r>
        <w:t>Hỗ trợ hoạt động khởi nghiệp đổi mới sáng tạo trong cộng đồng, doanh nghiệp.</w:t>
      </w:r>
    </w:p>
    <w:p w:rsidR="00D86CD4" w:rsidRDefault="00D86CD4" w:rsidP="00D86CD4">
      <w:pPr>
        <w:spacing w:before="120" w:after="120"/>
        <w:ind w:firstLine="709"/>
        <w:jc w:val="both"/>
      </w:pPr>
      <w:r>
        <w:t>Thông qua chính sách khuyến khích các doanh nghiệp nhỏ và vừa khởi nghiệp sáng tạo trên địa bàn tỉnh nghiên cứu, tiếp nhận chuyển giao, ứng dụng những tiến bộ kỹ thuật, những công nghệ - thiết bị mới vào sản xuất, kinh doanh phù hợp với định hướng phát triển kinh tế - xã hội của tỉnh.</w:t>
      </w:r>
    </w:p>
    <w:p w:rsidR="002F22B0" w:rsidRPr="00772C93" w:rsidRDefault="002F22B0" w:rsidP="00772C93">
      <w:pPr>
        <w:pStyle w:val="Heading21"/>
        <w:rPr>
          <w:rFonts w:cs="Times New Roman"/>
          <w:szCs w:val="28"/>
        </w:rPr>
      </w:pPr>
      <w:r w:rsidRPr="00772C93">
        <w:rPr>
          <w:rFonts w:cs="Times New Roman"/>
          <w:szCs w:val="28"/>
        </w:rPr>
        <w:tab/>
        <w:t>2. Quan điểm xây dựng văn bản</w:t>
      </w:r>
    </w:p>
    <w:p w:rsidR="002F22B0" w:rsidRPr="00772C93" w:rsidRDefault="002F22B0" w:rsidP="00772C93">
      <w:pPr>
        <w:spacing w:before="120" w:after="120"/>
        <w:jc w:val="both"/>
        <w:rPr>
          <w:b/>
        </w:rPr>
      </w:pPr>
      <w:r w:rsidRPr="00772C93">
        <w:tab/>
        <w:t xml:space="preserve">Chính sách hỗ trợ hệ sinh thái khởi nghiệp đổi mới sáng tạo được xây dựng theo tinh thần phát triển doanh nghiệp nói chung và doanh nghiệp khởi nghiệp đổi mới sáng tạo nói riêng của Đảng và Nhà nước </w:t>
      </w:r>
      <w:r w:rsidRPr="00772C93">
        <w:rPr>
          <w:i/>
        </w:rPr>
        <w:t xml:space="preserve">(Luật hỗ trợ doanh nghiệp nhỏ và vừa ngày 12/6/2017; Nghị quyết </w:t>
      </w:r>
      <w:r w:rsidRPr="00772C93">
        <w:rPr>
          <w:rStyle w:val="Strong"/>
          <w:rFonts w:eastAsiaTheme="majorEastAsia"/>
          <w:b w:val="0"/>
          <w:i/>
          <w:shd w:val="clear" w:color="auto" w:fill="FFFFFF"/>
        </w:rPr>
        <w:t>số 24/2016/QH14 ngày 08/11/2016 của Quốc Hội về Kế hoạch cơ cấu lại nền kinh tế giai đoạn 2016 - 2020; Nghị quyết 35/NQ-CP ngày 16/5/2016 của Chính phủ về hỗ trợ và phát triển doanh nghiệp đến năm 2020; Nghị định 39/2018/NĐ-CP của Chính phủ quy định chi tiết một số điều của Luật Hỗ trợ doanh nghiệp nhỏ và vừa; Quyết định số số 844/QĐ-TTg ngày 18/5/2016; 939/QĐ-TTg ngày 30/6/2017; 1665/QĐ-TTg ngày 30/10/2017 của Thủ tướng Chính phủ)</w:t>
      </w:r>
      <w:r w:rsidRPr="00772C93">
        <w:rPr>
          <w:rStyle w:val="Strong"/>
          <w:rFonts w:eastAsiaTheme="majorEastAsia"/>
          <w:b w:val="0"/>
          <w:shd w:val="clear" w:color="auto" w:fill="FFFFFF"/>
        </w:rPr>
        <w:t xml:space="preserve"> và từ thực trạng phát triển của doanh nghiệp khởi nghiệp đổi mới sáng tạo trên địa bàn tỉnh.</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III. PHẠM VI ĐIỀU CHỈNH, ĐỐI TƯỢNG ÁP DỤNG CỦA VĂN BẢN</w:t>
      </w:r>
    </w:p>
    <w:p w:rsidR="002F22B0" w:rsidRPr="00772C93" w:rsidRDefault="002F22B0" w:rsidP="00772C93">
      <w:pPr>
        <w:pStyle w:val="Heading21"/>
        <w:rPr>
          <w:rFonts w:cs="Times New Roman"/>
          <w:szCs w:val="28"/>
        </w:rPr>
      </w:pPr>
      <w:r w:rsidRPr="00772C93">
        <w:rPr>
          <w:rFonts w:cs="Times New Roman"/>
          <w:szCs w:val="28"/>
        </w:rPr>
        <w:tab/>
        <w:t>1. Phạm vi Điều chỉnh</w:t>
      </w:r>
    </w:p>
    <w:p w:rsidR="002F22B0" w:rsidRPr="00772C93" w:rsidRDefault="002F22B0" w:rsidP="00772C93">
      <w:pPr>
        <w:spacing w:before="120" w:after="120"/>
        <w:jc w:val="both"/>
      </w:pPr>
      <w:r w:rsidRPr="00772C93">
        <w:tab/>
        <w:t>Hoạt động hỗ trợ xây dựng hệ sinh thái khởi nghiệp đổi mới sáng tạo và hỗ trợ doanh nghiệp nhỏ và vừa khởi nghiệp sáng tạo; các cơ quan, tổ chức, doanh nghiệp, cá nhân liên quan đến hoạt động khởi nghiệp đổi mới sáng tạo trên địa bàn tỉnh Đắk Nông.</w:t>
      </w:r>
    </w:p>
    <w:p w:rsidR="002F22B0" w:rsidRPr="00772C93" w:rsidRDefault="002F22B0" w:rsidP="00772C93">
      <w:pPr>
        <w:pStyle w:val="Heading21"/>
        <w:rPr>
          <w:rFonts w:cs="Times New Roman"/>
          <w:szCs w:val="28"/>
        </w:rPr>
      </w:pPr>
      <w:r w:rsidRPr="00772C93">
        <w:rPr>
          <w:rFonts w:cs="Times New Roman"/>
          <w:szCs w:val="28"/>
        </w:rPr>
        <w:tab/>
        <w:t>2. Đối tượng áp dụng</w:t>
      </w:r>
    </w:p>
    <w:p w:rsidR="002F22B0" w:rsidRPr="00772C93" w:rsidRDefault="002F22B0" w:rsidP="00772C93">
      <w:pPr>
        <w:spacing w:before="120" w:after="120"/>
        <w:jc w:val="both"/>
      </w:pPr>
      <w:r w:rsidRPr="00772C93">
        <w:tab/>
        <w:t>- Doanh nghiệp nhỏ và vừa khởi nghiệp sáng tạo quy định tại khoản 2 Điều 3 Luật Hỗ trợ Doanh nghiệp nhỏ và vừa khi đáp ứng các tiêu chí xác định doanh nghiệp nhỏ và vừa theo quy định tại Điều 6 Nghị định 39/2018/NĐ-CP ngày 11/3/2018 của Chính phủ và điều kiện hỗ trợ quy định tại khoản 1 Điều 17 Luật Hỗ trợ Doanh nghiệp nhỏ và vừa hoạt động trên địa bàn tỉnh Đắk Nông.</w:t>
      </w:r>
    </w:p>
    <w:p w:rsidR="002F22B0" w:rsidRPr="00772C93" w:rsidRDefault="002F22B0" w:rsidP="00772C93">
      <w:pPr>
        <w:spacing w:before="120" w:after="120"/>
        <w:jc w:val="both"/>
      </w:pPr>
      <w:r w:rsidRPr="00772C93">
        <w:tab/>
        <w:t>- Các cơ quan quản lý nhà nước; tổ chức, cá nhân liên quan đến hoạt động khởi nghiệp đổi mới sáng tạo.</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IV. MỤC TIÊU, NỘI DUNG CỦA CHÍNH SÁCH, GIẢI PHÁP THỰC HIỆN CHÍNH SÁCH TRONG ĐỀ NGHỊ XÂY DỰNG VĂN BẢN</w:t>
      </w:r>
    </w:p>
    <w:p w:rsidR="00772C93" w:rsidRPr="00772C93" w:rsidRDefault="00772C93" w:rsidP="00772C93">
      <w:pPr>
        <w:pStyle w:val="Heading21"/>
        <w:rPr>
          <w:rFonts w:cs="Times New Roman"/>
          <w:szCs w:val="28"/>
        </w:rPr>
      </w:pPr>
      <w:r>
        <w:rPr>
          <w:rFonts w:cs="Times New Roman"/>
          <w:szCs w:val="28"/>
        </w:rPr>
        <w:tab/>
        <w:t>1. Chính sách 1</w:t>
      </w:r>
    </w:p>
    <w:p w:rsidR="002F22B0" w:rsidRPr="00772C93" w:rsidRDefault="002F22B0" w:rsidP="00772C93">
      <w:pPr>
        <w:spacing w:before="120" w:after="120"/>
        <w:jc w:val="both"/>
      </w:pPr>
      <w:r w:rsidRPr="00772C93">
        <w:tab/>
        <w:t>- Mục tiêu của chính sách:</w:t>
      </w:r>
    </w:p>
    <w:p w:rsidR="00160785" w:rsidRDefault="00160785" w:rsidP="00160785">
      <w:pPr>
        <w:spacing w:before="120" w:after="120"/>
        <w:ind w:firstLine="709"/>
        <w:jc w:val="both"/>
      </w:pPr>
      <w:r>
        <w:t xml:space="preserve">Thiết lập được chủ thể khởi xướng, kết nối các thành phần trong hệ sinh </w:t>
      </w:r>
      <w:r>
        <w:lastRenderedPageBreak/>
        <w:t>thái khởi nghiệp đổi mới sáng tạo trong giai đoạn đầu tiên, giúp hình thành và phát triển hệ sinh thái khởi nghiệp đổi mới sáng tạo trên địa bàn tỉnh.</w:t>
      </w:r>
    </w:p>
    <w:p w:rsidR="00160785" w:rsidRDefault="00160785" w:rsidP="00160785">
      <w:pPr>
        <w:spacing w:before="120" w:after="120"/>
        <w:ind w:firstLine="709"/>
        <w:jc w:val="both"/>
      </w:pPr>
      <w:r>
        <w:t>Tăng cường năng lực, kinh nghiệm của các thành phần trong hệ sinh thái khởi nghiệp đổi mới sáng tạo gồm: cơ quan nhà nước có liên quan; cơ sở giáo dục; mạng lưới cung cấp dịch vụ, ươm tạo, tư vấn, hỗ trợ; doanh nghiệp; nhà đầu tư…</w:t>
      </w:r>
    </w:p>
    <w:p w:rsidR="00160785" w:rsidRDefault="00160785" w:rsidP="00160785">
      <w:pPr>
        <w:spacing w:before="120" w:after="120"/>
        <w:ind w:firstLine="709"/>
        <w:jc w:val="both"/>
      </w:pPr>
      <w:r>
        <w:t>Hỗ trợ, thúc đẩy thành lập mạng lưới cơ sở ươm tạo, khu làm việc chung.</w:t>
      </w:r>
    </w:p>
    <w:p w:rsidR="002F22B0" w:rsidRPr="00772C93" w:rsidRDefault="002F22B0" w:rsidP="00772C93">
      <w:pPr>
        <w:spacing w:before="120" w:after="120"/>
        <w:ind w:firstLine="709"/>
        <w:jc w:val="both"/>
      </w:pPr>
      <w:r w:rsidRPr="00772C93">
        <w:tab/>
        <w:t>- Nội dung của chính sách: Hỗ trợ kinh phí để phát triển hệ sinh thái khởi nghiệp đổi mới sáng tạo.</w:t>
      </w:r>
    </w:p>
    <w:p w:rsidR="002F22B0" w:rsidRPr="00772C93" w:rsidRDefault="002F22B0" w:rsidP="00772C93">
      <w:pPr>
        <w:spacing w:before="120" w:after="120"/>
        <w:jc w:val="both"/>
      </w:pPr>
      <w:r w:rsidRPr="00772C93">
        <w:tab/>
        <w:t>- Giải pháp thực hiện chính sách đã được lựa chọn và lý do lựa chọn</w:t>
      </w:r>
    </w:p>
    <w:p w:rsidR="002F22B0" w:rsidRPr="00772C93" w:rsidRDefault="002F22B0" w:rsidP="00772C93">
      <w:pPr>
        <w:spacing w:before="120" w:after="120"/>
        <w:ind w:firstLine="709"/>
        <w:jc w:val="both"/>
      </w:pPr>
      <w:r w:rsidRPr="00772C93">
        <w:tab/>
        <w:t>+ Giải pháp 1: Đào tạo, tuyên truyền, tư vấn hoạt động khởi nghiệp đổi mới sáng tạo (bao gồm chi phí thuê chuyên gia trong và ngoài nước); tổ chức các hoạt động kết nối, hợp tác phát triển hệ sinh thái khởi nghiệp đổi mới sáng tạo của tỉnh, tối đa không quá 200 triệu đồng/năm.</w:t>
      </w:r>
    </w:p>
    <w:p w:rsidR="00160785" w:rsidRPr="00DD6063" w:rsidRDefault="002F22B0" w:rsidP="00160785">
      <w:pPr>
        <w:spacing w:before="120" w:after="120"/>
        <w:ind w:firstLine="709"/>
        <w:jc w:val="both"/>
      </w:pPr>
      <w:r w:rsidRPr="00767FA0">
        <w:t xml:space="preserve">Lý do lựa chọn: </w:t>
      </w:r>
      <w:r w:rsidR="00160785" w:rsidRPr="00767FA0">
        <w:t>T</w:t>
      </w:r>
      <w:r w:rsidR="00160785" w:rsidRPr="00767FA0">
        <w:t xml:space="preserve">ỷ lệ lao động qua đào tạo ở Đắk Nông thấp, trình độ của </w:t>
      </w:r>
      <w:r w:rsidR="00160785" w:rsidRPr="00DD6063">
        <w:t>một bộ phận lớn lao động không cao; thói quen canh tác và sản xuất truyền thống rất khó thay đổi đặc biệt là vùng sâu, vùng xa</w:t>
      </w:r>
      <w:r w:rsidR="00160785">
        <w:t>. Vì vậy t</w:t>
      </w:r>
      <w:r w:rsidR="00160785" w:rsidRPr="00DD6063">
        <w:t>hông qua các hoạt động tuyên truyền, đào tạo, huấn luyện về đổi mới sáng tạo sẽ giúp họ hiểu rõ vai trò, ý nghĩa của đổi mới sáng tạo từ đó mạnh dạn đổi mới trong sản xuất, kinh doanh.</w:t>
      </w:r>
    </w:p>
    <w:p w:rsidR="002F22B0" w:rsidRPr="00772C93" w:rsidRDefault="002F22B0" w:rsidP="00772C93">
      <w:pPr>
        <w:spacing w:before="120" w:after="120"/>
        <w:ind w:firstLine="709"/>
        <w:jc w:val="both"/>
      </w:pPr>
      <w:r w:rsidRPr="00772C93">
        <w:t>+ Giải pháp 2: Xây dựng và triển khai các chương trình, giáo dục đào tạo, huấn luyện khởi nghiệp đổi mới sáng tạo tại các cơ sở giáo dục đào tạo, các tổ chức thúc đẩy, hỗ trợ hoạt động khởi nghiệp sáng tạo và thành lập các câu lạc bộ khởi nghiệp sáng tạo, tối đa không quá 50 triệu đồng/đơn vị/năm.</w:t>
      </w:r>
    </w:p>
    <w:p w:rsidR="00A10C10" w:rsidRDefault="002F22B0" w:rsidP="00A10C10">
      <w:pPr>
        <w:spacing w:before="120" w:after="120"/>
        <w:ind w:firstLine="709"/>
        <w:jc w:val="both"/>
      </w:pPr>
      <w:r w:rsidRPr="00772C93">
        <w:t>Lý do lựa chọn:</w:t>
      </w:r>
      <w:r w:rsidR="00A10C10">
        <w:t xml:space="preserve"> Để</w:t>
      </w:r>
      <w:r w:rsidR="00160785">
        <w:t xml:space="preserve"> </w:t>
      </w:r>
      <w:r w:rsidR="00A10C10">
        <w:t>t</w:t>
      </w:r>
      <w:r w:rsidR="00A10C10">
        <w:t>ăng cường năng lực, kinh nghiệm của các thành phần trong hệ sinh thái khởi nghiệp đổi mới sáng tạo gồm: cơ quan nhà nước có liên quan; cơ sở giáo dục; mạng lưới cung cấp dịch vụ, ươm tạo, tư vấn, hỗ trợ; doanh nghiệp; nhà đầu tư…</w:t>
      </w:r>
    </w:p>
    <w:p w:rsidR="002F22B0" w:rsidRPr="00772C93" w:rsidRDefault="002F22B0" w:rsidP="00772C93">
      <w:pPr>
        <w:spacing w:before="120" w:after="120"/>
        <w:ind w:firstLine="709"/>
        <w:jc w:val="both"/>
      </w:pPr>
      <w:r w:rsidRPr="00772C93">
        <w:t xml:space="preserve">+ Giải pháp 3: </w:t>
      </w:r>
    </w:p>
    <w:p w:rsidR="00A10C10" w:rsidRDefault="00A10C10" w:rsidP="00A10C10">
      <w:pPr>
        <w:spacing w:before="120" w:after="120"/>
        <w:ind w:firstLine="709"/>
        <w:jc w:val="both"/>
      </w:pPr>
      <w:r>
        <w:t>Hỗ trợ đầu tư trang thiết bị cho cơ sở ươm tạo, không gian làm việc chung ở các huyện, thị xã nhưng tối đa không quá 200 triệu trong một năm cho một đơn vị ở tỉnh hoặc huyện; Hỗ trợ chi phí hoạt động cho cơ sở ươm tạo, không gian làm việc chung, tối đa không quá 100 triệu/năm/đơn vị.</w:t>
      </w:r>
    </w:p>
    <w:p w:rsidR="00A10C10" w:rsidRDefault="00A10C10" w:rsidP="00717BFC">
      <w:pPr>
        <w:widowControl/>
        <w:jc w:val="both"/>
        <w:rPr>
          <w:rFonts w:eastAsiaTheme="majorEastAsia"/>
          <w:bCs/>
        </w:rPr>
      </w:pPr>
      <w:r>
        <w:tab/>
        <w:t>Lý do lựa chọn: Hình thành mạng lưới cơ sở ươm tạo, khu làm việc chung để</w:t>
      </w:r>
      <w:r w:rsidR="00717BFC">
        <w:t xml:space="preserve"> có cơ sở</w:t>
      </w:r>
      <w:r>
        <w:t xml:space="preserve"> hỗ trợ cho doanh nghiệp nhỏ và vừa khởi nghiệp sáng tạo theo Nghị định số 39/2018/NĐ-CP của Chính phủ ngày 11/3/2018.</w:t>
      </w:r>
    </w:p>
    <w:p w:rsidR="002F22B0" w:rsidRPr="00772C93" w:rsidRDefault="002F22B0" w:rsidP="00772C93">
      <w:pPr>
        <w:pStyle w:val="Heading21"/>
        <w:rPr>
          <w:rFonts w:cs="Times New Roman"/>
          <w:szCs w:val="28"/>
        </w:rPr>
      </w:pPr>
      <w:r w:rsidRPr="00772C93">
        <w:rPr>
          <w:rFonts w:cs="Times New Roman"/>
          <w:szCs w:val="28"/>
        </w:rPr>
        <w:tab/>
        <w:t>2. Chính sách 2:</w:t>
      </w:r>
    </w:p>
    <w:p w:rsidR="002F22B0" w:rsidRPr="00772C93" w:rsidRDefault="002F22B0" w:rsidP="00772C93">
      <w:pPr>
        <w:spacing w:before="120" w:after="120"/>
        <w:ind w:firstLine="709"/>
        <w:jc w:val="both"/>
      </w:pPr>
      <w:r w:rsidRPr="00772C93">
        <w:tab/>
        <w:t xml:space="preserve">- Mục tiêu của chính sách: Hỗ trợ doanh nghiệp nhỏ và vừa khởi nghiệp sáng tạo một phần kinh phí từ nguồn ngân sách của tỉnh nhằm khích lệ các nhỏ và vừa khởi nghiệp tiếp tục đầu tư nghiên cứu phát triển sản phẩm mới, hoàn </w:t>
      </w:r>
      <w:r w:rsidRPr="00772C93">
        <w:lastRenderedPageBreak/>
        <w:t>thiện công nghệ sản xuất để duy trì sự sáng tạo.</w:t>
      </w:r>
    </w:p>
    <w:p w:rsidR="002F22B0" w:rsidRPr="00772C93" w:rsidRDefault="002F22B0" w:rsidP="00772C93">
      <w:pPr>
        <w:spacing w:before="120" w:after="120"/>
        <w:jc w:val="both"/>
      </w:pPr>
      <w:r w:rsidRPr="00772C93">
        <w:tab/>
        <w:t>- Nội dung của chính sách: Hỗ trợ doanh nghiệp nhỏ và vừa khởi nghiệp sáng tạo.</w:t>
      </w:r>
    </w:p>
    <w:p w:rsidR="002F22B0" w:rsidRPr="00772C93" w:rsidRDefault="002F22B0" w:rsidP="00772C93">
      <w:pPr>
        <w:spacing w:before="120" w:after="120"/>
        <w:jc w:val="both"/>
      </w:pPr>
      <w:r w:rsidRPr="00772C93">
        <w:tab/>
        <w:t>- Giải pháp thực hiện chính sách đã được lựa chọn và lý do lựa chọn</w:t>
      </w:r>
    </w:p>
    <w:p w:rsidR="002F22B0" w:rsidRPr="00772C93" w:rsidRDefault="002F22B0" w:rsidP="00772C93">
      <w:pPr>
        <w:spacing w:before="120" w:after="120"/>
        <w:ind w:firstLine="709"/>
        <w:jc w:val="both"/>
      </w:pPr>
      <w:r w:rsidRPr="00772C93">
        <w:tab/>
        <w:t>+ Hỗ trợ tư vấn về sở hữu trí tuệ; khai thác và phát triển tài sản trí tuệ:</w:t>
      </w:r>
    </w:p>
    <w:p w:rsidR="002F22B0" w:rsidRPr="00772C93" w:rsidRDefault="002F22B0" w:rsidP="00772C93">
      <w:pPr>
        <w:spacing w:before="120" w:after="120"/>
        <w:ind w:firstLine="709"/>
        <w:jc w:val="both"/>
      </w:pPr>
      <w:r w:rsidRPr="00772C93">
        <w:t>Hỗ trợ 100% giá trị hợp đồng tư vấn về thủ tục xác lập, chuyển giao, bảo vệ quyền sở hữu trí tuệ;</w:t>
      </w:r>
    </w:p>
    <w:p w:rsidR="002F22B0" w:rsidRPr="00772C93" w:rsidRDefault="002F22B0" w:rsidP="00772C93">
      <w:pPr>
        <w:spacing w:before="120" w:after="120"/>
        <w:ind w:firstLine="709"/>
        <w:jc w:val="both"/>
      </w:pPr>
      <w:r w:rsidRPr="00772C93">
        <w:t>Hỗ trợ 100% giá trị hợp đồng tư vấn về xây dựng và thực hiện chính sách, chiến lược hoạt động sở hữu trí tuệ;</w:t>
      </w:r>
    </w:p>
    <w:p w:rsidR="002F22B0" w:rsidRPr="00772C93" w:rsidRDefault="002F22B0" w:rsidP="00772C93">
      <w:pPr>
        <w:spacing w:before="120" w:after="120"/>
        <w:ind w:firstLine="709"/>
        <w:jc w:val="both"/>
      </w:pPr>
      <w:r w:rsidRPr="00772C93">
        <w:t>Hỗ trợ 100% giá trị hợp đồng tư vấn và thiết kế, đăng ký bảo hỗ, khai thác và phát triển giá trị của nhãn hiệu, kiểu dáng công nghiệp, sáng chế;</w:t>
      </w:r>
    </w:p>
    <w:p w:rsidR="002F22B0" w:rsidRPr="00772C93" w:rsidRDefault="002F22B0" w:rsidP="00772C93">
      <w:pPr>
        <w:spacing w:before="120" w:after="120"/>
        <w:ind w:firstLine="709"/>
        <w:jc w:val="both"/>
      </w:pPr>
      <w:r w:rsidRPr="00772C93">
        <w:t>Hỗ trợ 100% giá trị hợp đồng tư vấn về xây dựng và phát triển tài sản trí tuệ đối với chỉ dẫn địa lý.</w:t>
      </w:r>
    </w:p>
    <w:p w:rsidR="002F22B0" w:rsidRPr="00772C93" w:rsidRDefault="002F22B0" w:rsidP="00772C93">
      <w:pPr>
        <w:spacing w:before="120" w:after="120"/>
        <w:ind w:firstLine="709"/>
        <w:jc w:val="both"/>
      </w:pPr>
      <w:r w:rsidRPr="00772C93">
        <w:t>+ Hỗ trợ thực hiện các thủ tục về tiêu chuẩn, quy chuẩn kỹ thuật, đo lường, chất lượng; thử nghiệm, hoàn thiện sản phẩm mới, mô hình kinh doanh mới:</w:t>
      </w:r>
    </w:p>
    <w:p w:rsidR="002F22B0" w:rsidRPr="00772C93" w:rsidRDefault="002F22B0" w:rsidP="00772C93">
      <w:pPr>
        <w:spacing w:before="120" w:after="120"/>
        <w:ind w:firstLine="709"/>
        <w:jc w:val="both"/>
      </w:pPr>
      <w:r w:rsidRPr="00772C93">
        <w:t>Cung cấp thông tin miễn phí về hệ thống các tiêu chuẩn, quy chuẩn trong nước và quốc tế thuộc lĩnh vực sản xuất kinh doanh của doanh nghiệp khởi nghiệp sáng tạo;</w:t>
      </w:r>
    </w:p>
    <w:p w:rsidR="002F22B0" w:rsidRPr="00772C93" w:rsidRDefault="002F22B0" w:rsidP="00772C93">
      <w:pPr>
        <w:spacing w:before="120" w:after="120"/>
        <w:ind w:firstLine="709"/>
        <w:jc w:val="both"/>
      </w:pPr>
      <w:r w:rsidRPr="00772C93">
        <w:t>Hỗ trợ 100% giá trị hợp đồng tư vấn để doanh nghiệp xây dựng tiêu chuẩn cơ sở;</w:t>
      </w:r>
    </w:p>
    <w:p w:rsidR="002F22B0" w:rsidRPr="00772C93" w:rsidRDefault="002F22B0" w:rsidP="00772C93">
      <w:pPr>
        <w:spacing w:before="120" w:after="120"/>
        <w:ind w:firstLine="709"/>
        <w:jc w:val="both"/>
      </w:pPr>
      <w:r w:rsidRPr="00772C93">
        <w:t>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lường nhưng không quá 10 triệu đồng trên một lần thử và không quá 01 lần trên năm;</w:t>
      </w:r>
    </w:p>
    <w:p w:rsidR="002F22B0" w:rsidRPr="00772C93" w:rsidRDefault="002F22B0" w:rsidP="00772C93">
      <w:pPr>
        <w:spacing w:before="120" w:after="120"/>
        <w:ind w:firstLine="709"/>
        <w:jc w:val="both"/>
      </w:pPr>
      <w:r w:rsidRPr="00772C93">
        <w:t>Hỗ trợ 100% giá trị hợp đồng tư vấn để doanh nghiệp khởi nghiệp sáng tạo tự tổ chức đo lường;</w:t>
      </w:r>
    </w:p>
    <w:p w:rsidR="002F22B0" w:rsidRPr="00772C93" w:rsidRDefault="002F22B0" w:rsidP="00772C93">
      <w:pPr>
        <w:spacing w:before="120" w:after="120"/>
        <w:ind w:firstLine="709"/>
        <w:jc w:val="both"/>
      </w:pPr>
      <w:r w:rsidRPr="00772C93">
        <w:t>Giảm 50% phí thử nghiệm về chất lượng hàng hóa tại hệ thống thử nghiệm thuộc cơ quan quản lý nhà nước nhưng không quá 10 triệu đồng trên một lần thử và không quá 01 lần trên năm.</w:t>
      </w:r>
    </w:p>
    <w:p w:rsidR="002F22B0" w:rsidRPr="00772C93" w:rsidRDefault="002F22B0" w:rsidP="00772C93">
      <w:pPr>
        <w:spacing w:before="120" w:after="120"/>
        <w:ind w:firstLine="709"/>
        <w:jc w:val="both"/>
      </w:pPr>
      <w:r w:rsidRPr="00772C93">
        <w:t>+ Hỗ trợ về ứng dụng, chuyển giao công nghệ: Hỗ trợ 50% chi phí hợp đồng ứng dụng công nghệ cao, hợp đồng chuyển giao công nghệ nhưng không quá 100 triệu trên một hợp đồng và không quá một hợp đồng mỗi năm.</w:t>
      </w:r>
    </w:p>
    <w:p w:rsidR="002F22B0" w:rsidRPr="00772C93" w:rsidRDefault="002F22B0" w:rsidP="00772C93">
      <w:pPr>
        <w:spacing w:before="120" w:after="120"/>
        <w:ind w:firstLine="709"/>
        <w:jc w:val="both"/>
      </w:pPr>
      <w:r w:rsidRPr="00772C93">
        <w:t>+ Hỗ trợ về đào tạo, thông tin, xúc tiến thương mại, thương mại hóa:</w:t>
      </w:r>
    </w:p>
    <w:p w:rsidR="002F22B0" w:rsidRPr="00772C93" w:rsidRDefault="002F22B0" w:rsidP="00772C93">
      <w:pPr>
        <w:spacing w:before="120" w:after="120"/>
        <w:ind w:firstLine="709"/>
        <w:jc w:val="both"/>
      </w:pPr>
      <w:r w:rsidRPr="00772C93">
        <w:t>Hỗ trợ 50% chi phí đào tạo chuyên sâu về các nội dung sau: xây dựng, phát triển sản phẩm; thương mại hóa sản phẩm, gọi vốn đầu tư; phát triển thị trường; kết nối mạng lưới khởi nghiệp với các tổ chức, cá nhân nghiên cứu khoa học. Chi phí hỗ trợ không quá 20 triệu đồng trên một khóa học đào tạo và không quá 01 khóa đào tạo trên năm;</w:t>
      </w:r>
    </w:p>
    <w:p w:rsidR="002F22B0" w:rsidRPr="00772C93" w:rsidRDefault="002F22B0" w:rsidP="00772C93">
      <w:pPr>
        <w:spacing w:before="120" w:after="120"/>
        <w:ind w:firstLine="709"/>
        <w:jc w:val="both"/>
      </w:pPr>
      <w:r w:rsidRPr="00772C93">
        <w:lastRenderedPageBreak/>
        <w:t>Miễn phí tra cứu, khai thác, cung cấp thông tin, cơ sở dữ liệu về sáng chế, thông tin công nghệ, kết quả nghiên cứu;</w:t>
      </w:r>
    </w:p>
    <w:p w:rsidR="002F22B0" w:rsidRPr="00772C93" w:rsidRDefault="002F22B0" w:rsidP="00772C93">
      <w:pPr>
        <w:spacing w:before="120" w:after="120"/>
        <w:ind w:firstLine="709"/>
        <w:jc w:val="both"/>
      </w:pPr>
      <w:r w:rsidRPr="00772C93">
        <w:t>Hỗ trợ 100% chi phí gian hàng tại Hội chợ triển lãm xúc tiến thương mại trong nước và quốc tế; được ưu tiên tham gia Chương trình xúc tiến thương mại có sử dụng ngân sách nhà nước;</w:t>
      </w:r>
    </w:p>
    <w:p w:rsidR="002F22B0" w:rsidRPr="00772C93" w:rsidRDefault="002F22B0" w:rsidP="00772C93">
      <w:pPr>
        <w:spacing w:before="120" w:after="120"/>
        <w:ind w:firstLine="709"/>
        <w:jc w:val="both"/>
      </w:pPr>
      <w:r w:rsidRPr="00772C93">
        <w:t>Miễn phí cung cấp thông tin, truyền thông về kết nối mạng lưới khởi nghiệp sáng tạo, thu hút đầu tư từ quỹ đầu tư khởi nghiệp sáng tạo.</w:t>
      </w:r>
    </w:p>
    <w:p w:rsidR="002F22B0" w:rsidRPr="00772C93" w:rsidRDefault="002F22B0" w:rsidP="00772C93">
      <w:pPr>
        <w:spacing w:before="120" w:after="120"/>
        <w:ind w:firstLine="709"/>
        <w:jc w:val="both"/>
      </w:pPr>
      <w:r w:rsidRPr="00772C93">
        <w:t>+ Hỗ trợ sử dụng cơ sở kỹ thuật, cơ sở ươm tạo, khu làm việc chung: Hỗ trợ 100% chi phí sử dụng trang thiết bị tại các cơ sở kỹ thuật hỗ trợ doanh nghiệp vừa và nhỏ.</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V. DỰ KIẾN NGUỒN LỰC, ĐIỀU KIỆN BẢO ĐẢM CHO VIỆC THI HÀNH VĂN BẢN SAU KHI ĐƯỢC THÔNG QUA</w:t>
      </w:r>
    </w:p>
    <w:p w:rsidR="002F22B0" w:rsidRPr="00772C93" w:rsidRDefault="002F22B0" w:rsidP="00772C93">
      <w:pPr>
        <w:pStyle w:val="Heading21"/>
        <w:rPr>
          <w:rFonts w:cs="Times New Roman"/>
          <w:szCs w:val="28"/>
        </w:rPr>
      </w:pPr>
      <w:r w:rsidRPr="00772C93">
        <w:rPr>
          <w:rFonts w:cs="Times New Roman"/>
          <w:szCs w:val="28"/>
        </w:rPr>
        <w:tab/>
        <w:t>1. Nguồn kinh phí để thực hiện</w:t>
      </w:r>
    </w:p>
    <w:p w:rsidR="002F22B0" w:rsidRPr="00772C93" w:rsidRDefault="002F22B0" w:rsidP="00772C93">
      <w:pPr>
        <w:spacing w:before="120" w:after="120"/>
        <w:jc w:val="both"/>
      </w:pPr>
      <w:r w:rsidRPr="00772C93">
        <w:rPr>
          <w:b/>
        </w:rPr>
        <w:tab/>
      </w:r>
      <w:r w:rsidRPr="00772C93">
        <w:t>Dự kiến nguồn kinh phí để thực hiện các chính sách hỗ trợ hệ sinh thái khởi nghiệp đổi mới sáng tạo trên địa bàn tỉnh Đắk Nông đến năm 2025 khoảng 8 - 9 tỷ đồng. Nguồn vốn hỗ trợ từ ngân sách nhà nước (bao gồm cả ngân sách trung ương và ngân sách địa phương); Nguồn vốn hợp pháp từ các tổ chức, cá nhân trong và ngoài nước.</w:t>
      </w:r>
    </w:p>
    <w:p w:rsidR="002F22B0" w:rsidRPr="00772C93" w:rsidRDefault="002F22B0" w:rsidP="00772C93">
      <w:pPr>
        <w:pStyle w:val="Heading21"/>
        <w:rPr>
          <w:rFonts w:cs="Times New Roman"/>
          <w:szCs w:val="28"/>
        </w:rPr>
      </w:pPr>
      <w:r w:rsidRPr="00772C93">
        <w:rPr>
          <w:rFonts w:cs="Times New Roman"/>
          <w:szCs w:val="28"/>
        </w:rPr>
        <w:tab/>
        <w:t>2. Nguồn nhân lực để thực hiện</w:t>
      </w:r>
    </w:p>
    <w:p w:rsidR="002F22B0" w:rsidRPr="00772C93" w:rsidRDefault="002F22B0" w:rsidP="00772C93">
      <w:pPr>
        <w:spacing w:before="120" w:after="120"/>
        <w:jc w:val="both"/>
      </w:pPr>
      <w:r w:rsidRPr="00772C93">
        <w:tab/>
        <w:t>Sau khi Nghị quyết được thông qua, UBND tỉnh sẽ phân công các đơn vị đầu mối để tổ chức thực hiện chính sách bao gồm thông báo, hướng dẫn, tiếp nhận đề xuất của các đơn vị, doanh nghiệp, thành lập Hội đồng lựa chọn đối tượng tham gia các chính sách hỗ trợ.</w:t>
      </w:r>
    </w:p>
    <w:p w:rsidR="002F22B0" w:rsidRPr="00772C93" w:rsidRDefault="002F22B0" w:rsidP="00772C93">
      <w:pPr>
        <w:spacing w:before="120" w:after="120"/>
        <w:jc w:val="both"/>
      </w:pPr>
      <w:r w:rsidRPr="00772C93">
        <w:tab/>
        <w:t>Sở Khoa học và Công nghệ là cơ quan đầu mối theo dõi việc tổ chức thực hiện các chính sách.</w:t>
      </w:r>
    </w:p>
    <w:p w:rsidR="002F22B0" w:rsidRPr="00772C93" w:rsidRDefault="002F22B0" w:rsidP="00772C93">
      <w:pPr>
        <w:pStyle w:val="Heading1"/>
        <w:spacing w:before="120" w:after="120"/>
        <w:rPr>
          <w:rFonts w:ascii="Times New Roman" w:hAnsi="Times New Roman" w:cs="Times New Roman"/>
          <w:sz w:val="28"/>
          <w:szCs w:val="28"/>
        </w:rPr>
      </w:pPr>
      <w:r w:rsidRPr="00772C93">
        <w:rPr>
          <w:rFonts w:ascii="Times New Roman" w:hAnsi="Times New Roman" w:cs="Times New Roman"/>
          <w:sz w:val="28"/>
          <w:szCs w:val="28"/>
        </w:rPr>
        <w:tab/>
        <w:t>VI. THỜI GIAN DỰ KIẾN TRÌNH THÔNG QUA VĂN BẢN</w:t>
      </w:r>
    </w:p>
    <w:p w:rsidR="002F22B0" w:rsidRPr="00772C93" w:rsidRDefault="002F22B0" w:rsidP="00772C93">
      <w:pPr>
        <w:spacing w:before="120" w:after="120"/>
        <w:jc w:val="both"/>
      </w:pPr>
      <w:r w:rsidRPr="00772C93">
        <w:tab/>
        <w:t xml:space="preserve">Thời gian dự kiến trình Hội đồng nhân tỉnh thông qua Nghị quyết ban hành chính sách hỗ trợ hệ sinh thái khởi nghiệp đổi mới sáng tạo trên địa bàn tỉnh Đắk Nông đến năm 2025 là tháng </w:t>
      </w:r>
      <w:r w:rsidRPr="00772C93">
        <w:rPr>
          <w:color w:val="FF0000"/>
        </w:rPr>
        <w:t>11</w:t>
      </w:r>
      <w:r w:rsidRPr="00772C93">
        <w:t xml:space="preserve"> năm 2019</w:t>
      </w:r>
    </w:p>
    <w:p w:rsidR="002F22B0" w:rsidRPr="00772C93" w:rsidRDefault="002F22B0" w:rsidP="00772C93">
      <w:pPr>
        <w:spacing w:before="120" w:after="120"/>
        <w:jc w:val="both"/>
      </w:pPr>
      <w:r w:rsidRPr="00772C93">
        <w:tab/>
        <w:t>Trên đây là Tờ trình đề nghị xây dựng Nghị quyết ban hành chính sách hỗ trợ hệ sinh thái khởi nghiệp đổi mới sáng tạo trên địa bàn tỉnh Đắk Nông đến năm 2025, UBND tỉnh Đắk Nông xin kính trình Thường trực Hội đồng nhân dân tỉnh Đắk Nông xem xét, quyết định./.</w:t>
      </w:r>
    </w:p>
    <w:p w:rsidR="002F22B0" w:rsidRPr="001016C3" w:rsidRDefault="002F22B0" w:rsidP="002F22B0">
      <w:pPr>
        <w:spacing w:before="120"/>
        <w:jc w:val="both"/>
      </w:pPr>
      <w:r w:rsidRPr="001016C3">
        <w:rPr>
          <w:i/>
        </w:rPr>
        <w:t xml:space="preserve">(Xin gửi kèm theo: </w:t>
      </w:r>
      <w:r>
        <w:rPr>
          <w:i/>
        </w:rPr>
        <w:t>Báo cáo đánh giá tác động của Nghị quyết</w:t>
      </w:r>
      <w:r w:rsidRPr="001016C3">
        <w:rPr>
          <w:i/>
        </w:rPr>
        <w:t xml:space="preserve">; </w:t>
      </w:r>
      <w:r>
        <w:rPr>
          <w:i/>
        </w:rPr>
        <w:t>Bản tổng hợp, giải trình, tiếp thu ý kiến góp ý của các cơ quan, tổ chức, cá nhân và đối tượng chịu tác động trực tiếp; Đề cương dự thảo Nghị quyết</w:t>
      </w:r>
      <w:r w:rsidRPr="001016C3">
        <w:rPr>
          <w:i/>
        </w:rPr>
        <w:t>)</w:t>
      </w:r>
      <w:bookmarkStart w:id="0" w:name="_GoBack"/>
      <w:bookmarkEnd w:id="0"/>
      <w:r w:rsidRPr="001016C3">
        <w:t>.</w:t>
      </w:r>
    </w:p>
    <w:p w:rsidR="002F22B0" w:rsidRPr="001016C3" w:rsidRDefault="002F22B0" w:rsidP="002F22B0">
      <w:pPr>
        <w:tabs>
          <w:tab w:val="right" w:leader="dot" w:pos="8640"/>
        </w:tabs>
        <w:spacing w:before="120"/>
      </w:pPr>
    </w:p>
    <w:tbl>
      <w:tblPr>
        <w:tblW w:w="0" w:type="auto"/>
        <w:jc w:val="center"/>
        <w:tblLook w:val="01E0" w:firstRow="1" w:lastRow="1" w:firstColumn="1" w:lastColumn="1" w:noHBand="0" w:noVBand="0"/>
      </w:tblPr>
      <w:tblGrid>
        <w:gridCol w:w="4428"/>
        <w:gridCol w:w="4428"/>
      </w:tblGrid>
      <w:tr w:rsidR="002F22B0" w:rsidRPr="001016C3" w:rsidTr="003B5165">
        <w:trPr>
          <w:jc w:val="center"/>
        </w:trPr>
        <w:tc>
          <w:tcPr>
            <w:tcW w:w="4428" w:type="dxa"/>
          </w:tcPr>
          <w:p w:rsidR="002F22B0" w:rsidRPr="003F49AB" w:rsidRDefault="002F22B0" w:rsidP="003B5165">
            <w:pPr>
              <w:rPr>
                <w:sz w:val="22"/>
                <w:szCs w:val="22"/>
              </w:rPr>
            </w:pPr>
            <w:r w:rsidRPr="003F49AB">
              <w:rPr>
                <w:b/>
                <w:i/>
                <w:szCs w:val="22"/>
              </w:rPr>
              <w:t>Nơi nhận:</w:t>
            </w:r>
            <w:r w:rsidRPr="003F49AB">
              <w:rPr>
                <w:b/>
                <w:i/>
                <w:sz w:val="22"/>
                <w:szCs w:val="22"/>
              </w:rPr>
              <w:br/>
            </w:r>
            <w:r w:rsidRPr="003F49AB">
              <w:rPr>
                <w:sz w:val="22"/>
                <w:szCs w:val="22"/>
              </w:rPr>
              <w:t>- Như trên;</w:t>
            </w:r>
            <w:r w:rsidRPr="003F49AB">
              <w:rPr>
                <w:sz w:val="22"/>
                <w:szCs w:val="22"/>
              </w:rPr>
              <w:br/>
              <w:t>- Thường trực Tỉnh ủy;</w:t>
            </w:r>
            <w:r w:rsidRPr="003F49AB">
              <w:rPr>
                <w:sz w:val="22"/>
                <w:szCs w:val="22"/>
              </w:rPr>
              <w:br/>
            </w:r>
            <w:r w:rsidRPr="003F49AB">
              <w:rPr>
                <w:sz w:val="22"/>
                <w:szCs w:val="22"/>
              </w:rPr>
              <w:lastRenderedPageBreak/>
              <w:t>- Các Ban của HĐND tỉnh;</w:t>
            </w:r>
          </w:p>
          <w:p w:rsidR="002F22B0" w:rsidRPr="003F49AB" w:rsidRDefault="002F22B0" w:rsidP="003B5165">
            <w:pPr>
              <w:rPr>
                <w:sz w:val="22"/>
                <w:szCs w:val="22"/>
              </w:rPr>
            </w:pPr>
            <w:r w:rsidRPr="003F49AB">
              <w:rPr>
                <w:sz w:val="22"/>
                <w:szCs w:val="22"/>
              </w:rPr>
              <w:t>- CT, các PCT;</w:t>
            </w:r>
          </w:p>
          <w:p w:rsidR="002F22B0" w:rsidRPr="003F49AB" w:rsidRDefault="002F22B0" w:rsidP="003B5165">
            <w:pPr>
              <w:rPr>
                <w:sz w:val="22"/>
                <w:szCs w:val="22"/>
              </w:rPr>
            </w:pPr>
            <w:r w:rsidRPr="003F49AB">
              <w:rPr>
                <w:sz w:val="22"/>
                <w:szCs w:val="22"/>
              </w:rPr>
              <w:t>- VP UBND tỉnh;</w:t>
            </w:r>
          </w:p>
          <w:p w:rsidR="002F22B0" w:rsidRPr="003F49AB" w:rsidRDefault="002F22B0" w:rsidP="003B5165">
            <w:r w:rsidRPr="003F49AB">
              <w:rPr>
                <w:sz w:val="22"/>
                <w:szCs w:val="22"/>
              </w:rPr>
              <w:t>- Sở KH&amp;CN;</w:t>
            </w:r>
            <w:r w:rsidRPr="003F49AB">
              <w:rPr>
                <w:sz w:val="22"/>
                <w:szCs w:val="22"/>
              </w:rPr>
              <w:br/>
              <w:t>- Lưu: VT.</w:t>
            </w:r>
          </w:p>
        </w:tc>
        <w:tc>
          <w:tcPr>
            <w:tcW w:w="4428" w:type="dxa"/>
          </w:tcPr>
          <w:p w:rsidR="002F22B0" w:rsidRDefault="002F22B0" w:rsidP="003B5165">
            <w:pPr>
              <w:jc w:val="center"/>
              <w:rPr>
                <w:b/>
              </w:rPr>
            </w:pPr>
            <w:r>
              <w:rPr>
                <w:b/>
              </w:rPr>
              <w:lastRenderedPageBreak/>
              <w:t>TM. ỦY BAN NHÂN DÂN TỈNH</w:t>
            </w:r>
          </w:p>
          <w:p w:rsidR="002F22B0" w:rsidRPr="001016C3" w:rsidRDefault="002F22B0" w:rsidP="003B5165">
            <w:pPr>
              <w:jc w:val="center"/>
              <w:rPr>
                <w:b/>
              </w:rPr>
            </w:pPr>
            <w:r>
              <w:rPr>
                <w:b/>
              </w:rPr>
              <w:t>CHỦ TỊCH</w:t>
            </w:r>
          </w:p>
        </w:tc>
      </w:tr>
    </w:tbl>
    <w:p w:rsidR="002F22B0" w:rsidRPr="001016C3" w:rsidRDefault="002F22B0" w:rsidP="002F22B0">
      <w:pPr>
        <w:tabs>
          <w:tab w:val="right" w:leader="dot" w:pos="8640"/>
        </w:tabs>
        <w:spacing w:before="120"/>
      </w:pPr>
    </w:p>
    <w:p w:rsidR="009F43F8" w:rsidRDefault="009F43F8"/>
    <w:sectPr w:rsidR="009F43F8" w:rsidSect="006A0B23">
      <w:footerReference w:type="default" r:id="rId7"/>
      <w:pgSz w:w="11909" w:h="16834" w:code="9"/>
      <w:pgMar w:top="1134" w:right="1134" w:bottom="1134" w:left="1701" w:header="403" w:footer="561"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F7" w:rsidRDefault="00022FF7" w:rsidP="00772C93">
      <w:r>
        <w:separator/>
      </w:r>
    </w:p>
  </w:endnote>
  <w:endnote w:type="continuationSeparator" w:id="0">
    <w:p w:rsidR="00022FF7" w:rsidRDefault="00022FF7" w:rsidP="0077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82450"/>
      <w:docPartObj>
        <w:docPartGallery w:val="Page Numbers (Bottom of Page)"/>
        <w:docPartUnique/>
      </w:docPartObj>
    </w:sdtPr>
    <w:sdtEndPr>
      <w:rPr>
        <w:noProof/>
      </w:rPr>
    </w:sdtEndPr>
    <w:sdtContent>
      <w:p w:rsidR="00772C93" w:rsidRDefault="00772C93">
        <w:pPr>
          <w:pStyle w:val="Footer"/>
          <w:jc w:val="right"/>
        </w:pPr>
        <w:r>
          <w:fldChar w:fldCharType="begin"/>
        </w:r>
        <w:r>
          <w:instrText xml:space="preserve"> PAGE   \* MERGEFORMAT </w:instrText>
        </w:r>
        <w:r>
          <w:fldChar w:fldCharType="separate"/>
        </w:r>
        <w:r w:rsidR="00C82C4D">
          <w:rPr>
            <w:noProof/>
          </w:rPr>
          <w:t>5</w:t>
        </w:r>
        <w:r>
          <w:rPr>
            <w:noProof/>
          </w:rPr>
          <w:fldChar w:fldCharType="end"/>
        </w:r>
      </w:p>
    </w:sdtContent>
  </w:sdt>
  <w:p w:rsidR="00772C93" w:rsidRDefault="00772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F7" w:rsidRDefault="00022FF7" w:rsidP="00772C93">
      <w:r>
        <w:separator/>
      </w:r>
    </w:p>
  </w:footnote>
  <w:footnote w:type="continuationSeparator" w:id="0">
    <w:p w:rsidR="00022FF7" w:rsidRDefault="00022FF7" w:rsidP="00772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B0"/>
    <w:rsid w:val="00022FF7"/>
    <w:rsid w:val="000C393B"/>
    <w:rsid w:val="00160785"/>
    <w:rsid w:val="002F22B0"/>
    <w:rsid w:val="00450283"/>
    <w:rsid w:val="00677C09"/>
    <w:rsid w:val="00717BFC"/>
    <w:rsid w:val="0072063F"/>
    <w:rsid w:val="00751399"/>
    <w:rsid w:val="00767FA0"/>
    <w:rsid w:val="00772C93"/>
    <w:rsid w:val="009F43F8"/>
    <w:rsid w:val="00A10C10"/>
    <w:rsid w:val="00C82C4D"/>
    <w:rsid w:val="00D8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72063F"/>
    <w:pPr>
      <w:widowControl w:val="0"/>
    </w:pPr>
    <w:rPr>
      <w:rFonts w:eastAsia="Times New Roman"/>
    </w:rPr>
  </w:style>
  <w:style w:type="paragraph" w:styleId="Heading1">
    <w:name w:val="heading 1"/>
    <w:basedOn w:val="Normal"/>
    <w:next w:val="Normal"/>
    <w:link w:val="Heading1Char"/>
    <w:qFormat/>
    <w:rsid w:val="0075139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206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399"/>
    <w:rPr>
      <w:rFonts w:asciiTheme="majorHAnsi" w:eastAsiaTheme="majorEastAsia" w:hAnsiTheme="majorHAnsi" w:cstheme="majorBidi"/>
      <w:b/>
      <w:bCs/>
      <w:kern w:val="32"/>
      <w:sz w:val="32"/>
      <w:szCs w:val="32"/>
    </w:rPr>
  </w:style>
  <w:style w:type="character" w:styleId="Strong">
    <w:name w:val="Strong"/>
    <w:uiPriority w:val="22"/>
    <w:qFormat/>
    <w:rsid w:val="00751399"/>
    <w:rPr>
      <w:b/>
      <w:bCs/>
    </w:rPr>
  </w:style>
  <w:style w:type="character" w:customStyle="1" w:styleId="Heading2Char">
    <w:name w:val="Heading 2 Char"/>
    <w:basedOn w:val="DefaultParagraphFont"/>
    <w:link w:val="Heading2"/>
    <w:rsid w:val="0072063F"/>
    <w:rPr>
      <w:rFonts w:asciiTheme="majorHAnsi" w:eastAsiaTheme="majorEastAsia" w:hAnsiTheme="majorHAnsi" w:cstheme="majorBidi"/>
      <w:b/>
      <w:bCs/>
      <w:color w:val="4F81BD" w:themeColor="accent1"/>
      <w:sz w:val="26"/>
      <w:szCs w:val="26"/>
    </w:rPr>
  </w:style>
  <w:style w:type="paragraph" w:customStyle="1" w:styleId="Heading21">
    <w:name w:val="Heading 21"/>
    <w:basedOn w:val="Heading2"/>
    <w:link w:val="heading2Char0"/>
    <w:autoRedefine/>
    <w:qFormat/>
    <w:rsid w:val="002F22B0"/>
    <w:pPr>
      <w:spacing w:before="120" w:after="120"/>
    </w:pPr>
    <w:rPr>
      <w:rFonts w:ascii="Times New Roman" w:hAnsi="Times New Roman"/>
      <w:b w:val="0"/>
      <w:color w:val="auto"/>
      <w:sz w:val="28"/>
    </w:rPr>
  </w:style>
  <w:style w:type="character" w:customStyle="1" w:styleId="heading2Char0">
    <w:name w:val="heading 2 Char"/>
    <w:basedOn w:val="Heading2Char"/>
    <w:link w:val="Heading21"/>
    <w:rsid w:val="002F22B0"/>
    <w:rPr>
      <w:rFonts w:asciiTheme="majorHAnsi" w:eastAsiaTheme="majorEastAsia" w:hAnsiTheme="majorHAnsi" w:cstheme="majorBidi"/>
      <w:b w:val="0"/>
      <w:bCs/>
      <w:color w:val="4F81BD" w:themeColor="accent1"/>
      <w:sz w:val="26"/>
      <w:szCs w:val="26"/>
    </w:rPr>
  </w:style>
  <w:style w:type="paragraph" w:styleId="Header">
    <w:name w:val="header"/>
    <w:basedOn w:val="Normal"/>
    <w:link w:val="HeaderChar"/>
    <w:rsid w:val="00772C93"/>
    <w:pPr>
      <w:tabs>
        <w:tab w:val="center" w:pos="4680"/>
        <w:tab w:val="right" w:pos="9360"/>
      </w:tabs>
    </w:pPr>
  </w:style>
  <w:style w:type="character" w:customStyle="1" w:styleId="HeaderChar">
    <w:name w:val="Header Char"/>
    <w:basedOn w:val="DefaultParagraphFont"/>
    <w:link w:val="Header"/>
    <w:rsid w:val="00772C93"/>
    <w:rPr>
      <w:rFonts w:eastAsia="Times New Roman"/>
    </w:rPr>
  </w:style>
  <w:style w:type="paragraph" w:styleId="Footer">
    <w:name w:val="footer"/>
    <w:basedOn w:val="Normal"/>
    <w:link w:val="FooterChar"/>
    <w:uiPriority w:val="99"/>
    <w:rsid w:val="00772C93"/>
    <w:pPr>
      <w:tabs>
        <w:tab w:val="center" w:pos="4680"/>
        <w:tab w:val="right" w:pos="9360"/>
      </w:tabs>
    </w:pPr>
  </w:style>
  <w:style w:type="character" w:customStyle="1" w:styleId="FooterChar">
    <w:name w:val="Footer Char"/>
    <w:basedOn w:val="DefaultParagraphFont"/>
    <w:link w:val="Footer"/>
    <w:uiPriority w:val="99"/>
    <w:rsid w:val="00772C9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72063F"/>
    <w:pPr>
      <w:widowControl w:val="0"/>
    </w:pPr>
    <w:rPr>
      <w:rFonts w:eastAsia="Times New Roman"/>
    </w:rPr>
  </w:style>
  <w:style w:type="paragraph" w:styleId="Heading1">
    <w:name w:val="heading 1"/>
    <w:basedOn w:val="Normal"/>
    <w:next w:val="Normal"/>
    <w:link w:val="Heading1Char"/>
    <w:qFormat/>
    <w:rsid w:val="0075139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206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399"/>
    <w:rPr>
      <w:rFonts w:asciiTheme="majorHAnsi" w:eastAsiaTheme="majorEastAsia" w:hAnsiTheme="majorHAnsi" w:cstheme="majorBidi"/>
      <w:b/>
      <w:bCs/>
      <w:kern w:val="32"/>
      <w:sz w:val="32"/>
      <w:szCs w:val="32"/>
    </w:rPr>
  </w:style>
  <w:style w:type="character" w:styleId="Strong">
    <w:name w:val="Strong"/>
    <w:uiPriority w:val="22"/>
    <w:qFormat/>
    <w:rsid w:val="00751399"/>
    <w:rPr>
      <w:b/>
      <w:bCs/>
    </w:rPr>
  </w:style>
  <w:style w:type="character" w:customStyle="1" w:styleId="Heading2Char">
    <w:name w:val="Heading 2 Char"/>
    <w:basedOn w:val="DefaultParagraphFont"/>
    <w:link w:val="Heading2"/>
    <w:rsid w:val="0072063F"/>
    <w:rPr>
      <w:rFonts w:asciiTheme="majorHAnsi" w:eastAsiaTheme="majorEastAsia" w:hAnsiTheme="majorHAnsi" w:cstheme="majorBidi"/>
      <w:b/>
      <w:bCs/>
      <w:color w:val="4F81BD" w:themeColor="accent1"/>
      <w:sz w:val="26"/>
      <w:szCs w:val="26"/>
    </w:rPr>
  </w:style>
  <w:style w:type="paragraph" w:customStyle="1" w:styleId="Heading21">
    <w:name w:val="Heading 21"/>
    <w:basedOn w:val="Heading2"/>
    <w:link w:val="heading2Char0"/>
    <w:autoRedefine/>
    <w:qFormat/>
    <w:rsid w:val="002F22B0"/>
    <w:pPr>
      <w:spacing w:before="120" w:after="120"/>
    </w:pPr>
    <w:rPr>
      <w:rFonts w:ascii="Times New Roman" w:hAnsi="Times New Roman"/>
      <w:b w:val="0"/>
      <w:color w:val="auto"/>
      <w:sz w:val="28"/>
    </w:rPr>
  </w:style>
  <w:style w:type="character" w:customStyle="1" w:styleId="heading2Char0">
    <w:name w:val="heading 2 Char"/>
    <w:basedOn w:val="Heading2Char"/>
    <w:link w:val="Heading21"/>
    <w:rsid w:val="002F22B0"/>
    <w:rPr>
      <w:rFonts w:asciiTheme="majorHAnsi" w:eastAsiaTheme="majorEastAsia" w:hAnsiTheme="majorHAnsi" w:cstheme="majorBidi"/>
      <w:b w:val="0"/>
      <w:bCs/>
      <w:color w:val="4F81BD" w:themeColor="accent1"/>
      <w:sz w:val="26"/>
      <w:szCs w:val="26"/>
    </w:rPr>
  </w:style>
  <w:style w:type="paragraph" w:styleId="Header">
    <w:name w:val="header"/>
    <w:basedOn w:val="Normal"/>
    <w:link w:val="HeaderChar"/>
    <w:rsid w:val="00772C93"/>
    <w:pPr>
      <w:tabs>
        <w:tab w:val="center" w:pos="4680"/>
        <w:tab w:val="right" w:pos="9360"/>
      </w:tabs>
    </w:pPr>
  </w:style>
  <w:style w:type="character" w:customStyle="1" w:styleId="HeaderChar">
    <w:name w:val="Header Char"/>
    <w:basedOn w:val="DefaultParagraphFont"/>
    <w:link w:val="Header"/>
    <w:rsid w:val="00772C93"/>
    <w:rPr>
      <w:rFonts w:eastAsia="Times New Roman"/>
    </w:rPr>
  </w:style>
  <w:style w:type="paragraph" w:styleId="Footer">
    <w:name w:val="footer"/>
    <w:basedOn w:val="Normal"/>
    <w:link w:val="FooterChar"/>
    <w:uiPriority w:val="99"/>
    <w:rsid w:val="00772C93"/>
    <w:pPr>
      <w:tabs>
        <w:tab w:val="center" w:pos="4680"/>
        <w:tab w:val="right" w:pos="9360"/>
      </w:tabs>
    </w:pPr>
  </w:style>
  <w:style w:type="character" w:customStyle="1" w:styleId="FooterChar">
    <w:name w:val="Footer Char"/>
    <w:basedOn w:val="DefaultParagraphFont"/>
    <w:link w:val="Footer"/>
    <w:uiPriority w:val="99"/>
    <w:rsid w:val="00772C9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2019-06-12T21:42:00Z</dcterms:created>
  <dcterms:modified xsi:type="dcterms:W3CDTF">2019-06-13T22:24:00Z</dcterms:modified>
</cp:coreProperties>
</file>